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eb26f8b2a77481a" /><Relationship Type="http://schemas.openxmlformats.org/package/2006/relationships/metadata/core-properties" Target="/package/services/metadata/core-properties/3ed1eb42d2254ae0873fe27a408971eb.psmdcp" Id="Rb9ffbbe281cd42f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практике «Производственная (клиническая) практика:  Трансфузиология в педиатрии»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Берестовой Алексей Геннадьевич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Бирюкова Татьяна Валерьевна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Гончар-Зайкин Александр Петрович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216,00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практики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углубленных теоретических и практических знаний в области трансфузиологии, приобретение ключевых компетенций по диагностике, лечению, профилактике и реабилитации пациентов детского возраста нуждающихся в оказании трансфузиологической медицинской помощи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знаний о адаптационных системах организма у детей.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знаний о современных методах применяемых в трансфузиологии у пациентов детского возраста.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знаний о клинических проявлениях критических и терминальных состояниях пациентов детского возраста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актуализировать знания о классификации, механизмах действия, дозировках современных лекарственных средствах и инфузионно-трансфузионных препаратов применяемых в педиатрии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аргументация принципиальной возможности предупреждения и лечения критических и терминальных состояний, раскрытие этиотропной, патогенетической и симптоматической трансфузионно-инфузионной терапии;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и получение практического навыка в сердечно-легочно-мозговой реанимации у детей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методологических и методических основ клинического мышления и рационального действия врача-трансфузиолога в условиях педиатрического стационара.</w:t>
      </w:r>
    </w:p>
    <w:p w:rsidRPr="00B71FD5" w:rsidR="00E23389" w:rsidP="00B71FD5" w:rsidRDefault="00E23389">
      <w:pPr>
        <w:pStyle w:val="2"/>
      </w:pPr>
      <w:r w:rsidRPr="00B71FD5">
        <w:t>3. Место практики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работе методы сбора медико-статистических данных и исходов больных в критических состояниях; методы оценки динамики пациентов в критических состояниях и получивших анестезиолого-реанимационную помощь.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сбора медико-статистических данных и расчёт показателей заболеваемости и исходов больных в критических состояниях; методами сравнительного анализа показателей заболеваемости; методами оценки динамики пациентов в критических состояниях и получивших анестезиолого-реанимационную помощь.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сбора медико-статистических данных и расчёт показателей заболеваемости и исходов больных в критических состояниях; сравнительного анализа показателей заболеваемости; оценки динамики пациентов в критических состояниях и получивших анестезиолого-реанимационную помощь.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оценивать данные биохимических методов исследования крови; результаты иммунологических методов исследования; оценивать результаты лабораторных методов исследования системы гемостаза; результаты гормональных исследований крови; оценивать результаты бактериологических исследований биологических жидкостей уметь обследовать больного с инфекционными и паразитарными болезнями; уметь диагностировать клинические проявления инфекционных и паразитарных болезней; оценить тактильную, болевую, тепловую и холодовую чувствительность; уметь составлять план необходимого обследования и лечения пациента, находящегося в палате интенсивной терапии отделения анестезиологии и реанимации; уметь интерпретировать результаты лабораторных и инструментальных методов исследования; уметь хранить и транспортировать патологический материл от больных; уметь интерпретировать результаты лабораторных методов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клинического обследования пациентов по органам и системам (анамнез, осмотр, перкуссия, пальпация, аускультация); оценивать данных лабораторных методов исследования (клинических анализов) крови и мочи; оценивать данные биохимических методов исследования крови; оценивать результаты иммунологических методов исследования; владеть методами клинического обследования больного; уметь диагностировать клинические проявления терминальных и критических состояний; уметь составлять план необходимого обследования и лечения больного; уметь интерпретировать результаты серологического обследования; уметь интерпретировать результаты лабораторных методов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клинического обследования пациентов по органам и системам (анамнез, осмотр, перкуссия, пальпация, аускультация); оценки данных лабораторных методов исследования (клинических анализов) крови и мочи; оценки данные биохимических методов исследования.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трансфузионной терапии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показания для трансфузионной терапии определение симптомов недостаточности компонентов крови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назначением обоснованной трансфузионной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организации заготовки, обследования, хранения и транспортировки крови и её компонентов; подготовки, проведения и оценки результатов инфузионно-трансфузионного пособия пациентам при неотложных состояниях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функциональной диагностике и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использования физиотерапевтического воздействия у конкретного больного при основных патологических синдромах и неотложных состояниях.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практики (модуля), структурированное по темам (разделам) с указанием отведенного на них количества академических часов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Трансфузиология в педиатрии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методики определения группы крови у доноров и реципиентов системы АВ0 и резус-фактора;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методов проведения пробы на биологическую совместимость при инфузиях компонентов крови и гемокорректоров,показаний и противопоказаний к инфузионно-трансфузионной терапии в педиатрии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обследования донора для выявления показаний и противопоказаний к донации крови,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заготовки, обследования, хранения и транспортировки крови и её компонентов,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подготовка, особенности проведения у новорожденных и в детском возрасте, оценки результатов инфузионно-трансфузионного пособия при неотложных состояниях в педиатрии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и формы отчётности по практике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практике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Трансфузиология в педиатрии</w:t>
            </w:r>
          </w:p>
        </w:tc>
        <w:tc>
          <w:tcPr>
            <w:tcW w:w="10454" w:type="dxa"/>
          </w:tcPr>
          <w:p w:rsidR="00B71FD5" w:rsidP="00B71FD5" w:rsidRDefault="00B71FD5">
            <w:r>
              <w:t>Степени операционно-анестезиологического риска. Шкала МНОАР. Шкала ASA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Мониторный контроль. Виды. Задачи. Контроль адекватности анестезии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Современные компоненты общей и регионарной анестезии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премедикации. Цель и задачи. Оценка эффективности.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Эпидуральная анестезия. Методика, показания и противопоказания. Осложнения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Спинномозговая анестезия. Методика, показания и противопоказания. Осложнения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Классификация осложнений анестезиологического пособия. Экспертная оценка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Ошибки и осложнения общей и регионарной анестезии (Гр. А, Гр В) на этапах обезболивания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современных внутривенных анестетиков и транквилизаторов.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современных анальгетиков. Классификация. Фармакокинетика и фармакодинамика.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Оценка интенсивности боли. Мультимодальный подход к послеоперационному обезболиванию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Мышечные релаксанты. Механизм действия. Осложнения.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Искусственная артериальная гипотония. Методика. Показания и противопоказания. Фармакодинамика ганглиоблокаторов и периферических вазодилятаторов. Осложнения и их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Тотальная внутривенная анестезия. Методики. Вероятные осложнения.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экстренной анестезии. Тактика врача анестезиолога. Осложнения.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анестезиологического пособия при черепно-мозговой травме. Осложнения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в абдоминальной хирургии. Выбор анестезии. Мониторинг.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в травматологии и ортопедии. Выбор анестезии. Мониторинг.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обезболивания у детей и лиц пожилого возраста.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у больных с нарушением ритма сердца и проводимости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обезболивания у больных гипертонической болезнью, сахарным диабетом, бронхиальной астмой.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Амбулаторная анестезия. Принципы организации работы службы А-Р в условиях «хирургии одного дня».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Физиологические изменения в организме при беременности. Фармакодинамика и фармакокинетика анестетиков с позиций плацентарной проницаемости.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в плановом акушерстве и гинекологии (кесарево сечение, обезболивание неосложненных родов, малые гинекологические вмешательства).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Анестезиолого-реанимационное обеспечение преэклампсии и эклампсии.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Современные подходы к сердечно-легочной и мозговой реанимации. Первичный (А,В,С,) и расширенный (D) реанимационные комплексы. Принцип ранней дефибрилляции.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Постреанимационная болезнь. Стадии. Этиология. Апалический синдром. Принципы лечения больных.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«трудной интубации трахеи». Методы обеспечения проходимости дыхательных путей в анестезиологии.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Шок с точки зрения анестезиолога-реаниматолога.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Кардиогенный шок. Патогенез, клиника,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Анафилактический шок. Патогенез. Клиника.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Геморрагический шок. Классификация степени кровопотери. Патогенез, клиника,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Сепсис. Септический шок. Патогенез, диагностика,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Интенсивная терапия нарушений ритма и проводимости сердца.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ОДН. С-м острого повреждения легких. Респираторный дистресс-синдром взрослых. Патогенез, клиника,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Продленная ИВЛ. Показания. Опасности и осложнения. Вентилятор-ассоциированные пневмонии.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Тромбоэмболия легочной артерии. Этиология. Патогенез. Клиника, диагностика. Принципы интенсивной терапии.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ОДН. Отек легких. Патогенез. Клиника.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ОДН. Астматический статус. Клиника. Интенсивная терапия.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практики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https://www.rosmedlib.ru/book/ISBN9785970441619.html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Шайтор В.М., Неотложная неонатология [Электронный ресурс] : краткое руководство для врачей / В.М. Шайтор, Л.Д. Панова - М. : ГЭОТАР-Медиа, 2018. - 320 с. - ISBN 978-5-9704-4407-8 - Режим доступа: https://www.rosmedlib.ru/book/ISBN9785970444078.html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Крылов В.В., Нейрореаниматология : практическое руководство [Электронный ресурс] / Крылов В.В. - М. : ГЭОТАР-Медиа, 2017. - 176 с. (Серия "Библиотека врача-специа листа") - ISBN 978-5-9704-4369-9 - Режим доступа: https://www.rosmedlib.ru/book/ISBN9785970443699.html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Рыков М. Ю., Венозный доступ при лечении детей с онкологическими заболеваниями [Электронный ресурс] / под ред. М. Ю. Рыкова, В. Г. Полякова - М. : ГЭОТАР-Медиа, 2017. - 272 с. - ISBN 978-5-9704-4326-2 - Режим доступа: https://www.rosmedlib.ru/book/ISBN9785970443262.html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Шайтор В.М., Скорая и неотложная медицинская помощь детям [Электронный ресурс] / Шайтор В.М. - М. : ГЭОТАР-Медиа, 2017. - 416 с. - ISBN 978-5-9704-4116-9 - Режим доступа: https://www.rosmedlib.ru/book/ISBN9785970441169.html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практики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практике (модулю)</w:t>
      </w:r>
    </w:p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